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720" w:right="0" w:hanging="360"/>
        <w:jc w:val="center"/>
        <w:rPr>
          <w:rFonts w:hint="eastAsia" w:ascii="宋体" w:hAnsi="宋体" w:eastAsia="宋体" w:cs="宋体"/>
          <w:color w:val="333333"/>
          <w:sz w:val="42"/>
          <w:szCs w:val="42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50" w:lineRule="atLeast"/>
        <w:ind w:left="720" w:right="0" w:hanging="360"/>
        <w:jc w:val="center"/>
        <w:rPr>
          <w:rFonts w:hint="eastAsia" w:ascii="宋体" w:hAnsi="宋体" w:eastAsia="宋体" w:cs="宋体"/>
          <w:color w:val="333333"/>
          <w:sz w:val="42"/>
          <w:szCs w:val="42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42"/>
          <w:szCs w:val="42"/>
          <w:shd w:val="clear" w:fill="FFFFFF"/>
        </w:rPr>
        <w:t>关于做好选拔税务师行业高端人才培养对象工作的通知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720" w:right="0" w:hanging="360"/>
        <w:jc w:val="center"/>
        <w:rPr>
          <w:rFonts w:ascii="΢���ź�" w:hAnsi="΢���ź�" w:eastAsia="΢���ź�" w:cs="΢���ź�"/>
          <w:color w:val="333333"/>
          <w:sz w:val="30"/>
          <w:szCs w:val="30"/>
        </w:rPr>
      </w:pPr>
      <w:r>
        <w:rPr>
          <w:rFonts w:hint="default" w:ascii="΢���ź�" w:hAnsi="΢���ź�" w:eastAsia="΢���ź�" w:cs="΢���ź�"/>
          <w:color w:val="333333"/>
          <w:sz w:val="30"/>
          <w:szCs w:val="30"/>
          <w:shd w:val="clear" w:fill="FFFFFF"/>
        </w:rPr>
        <w:t>中税协秘发[2017]016号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720" w:right="0" w:hanging="360"/>
        <w:jc w:val="center"/>
        <w:rPr>
          <w:rFonts w:hint="eastAsia" w:ascii="宋体" w:hAnsi="宋体" w:eastAsia="宋体" w:cs="宋体"/>
          <w:color w:val="999999"/>
          <w:sz w:val="18"/>
          <w:szCs w:val="18"/>
        </w:rPr>
      </w:pPr>
      <w:r>
        <w:rPr>
          <w:rFonts w:hint="eastAsia" w:ascii="宋体" w:hAnsi="宋体" w:eastAsia="宋体" w:cs="宋体"/>
          <w:color w:val="999999"/>
          <w:sz w:val="18"/>
          <w:szCs w:val="18"/>
          <w:shd w:val="clear" w:fill="FFFFFF"/>
        </w:rPr>
        <w:t xml:space="preserve">发布日期：2017-04-13 09:58:37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720" w:right="0" w:hanging="360"/>
        <w:jc w:val="center"/>
        <w:rPr>
          <w:rFonts w:hint="eastAsia" w:ascii="宋体" w:hAnsi="宋体" w:eastAsia="宋体" w:cs="宋体"/>
          <w:color w:val="999999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sz w:val="18"/>
          <w:szCs w:val="18"/>
          <w:shd w:val="clear" w:fill="FFFFFF"/>
        </w:rPr>
        <w:t>【字体：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instrText xml:space="preserve"> HYPERLINK "http://www.cctaa.cn/zczd/zxwj/2017-04-13/javascript:T(16);" </w:instrTex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t>大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  <w:shd w:val="clear" w:fill="FFFFFF"/>
        </w:rPr>
        <w:t xml:space="preserve"> 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instrText xml:space="preserve"> HYPERLINK "http://www.cctaa.cn/zczd/zxwj/2017-04-13/javascript:T(14);" </w:instrTex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t>中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0066CC"/>
          <w:sz w:val="18"/>
          <w:szCs w:val="18"/>
          <w:shd w:val="clear" w:fill="FFFFFF"/>
        </w:rPr>
        <w:t xml:space="preserve"> 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instrText xml:space="preserve"> HYPERLINK "http://www.cctaa.cn/zczd/zxwj/2017-04-13/javascript:T(12);" </w:instrTex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t>小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  <w:shd w:val="clear" w:fill="FFFFFF"/>
        </w:rPr>
        <w:t xml:space="preserve"> 】 【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instrText xml:space="preserve"> HYPERLINK "http://www.cctaa.cn/zczd/zxwj/2017-04-13/javascript:window.close()" </w:instrTex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t>关闭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  <w:shd w:val="clear" w:fill="FFFFFF"/>
        </w:rPr>
        <w:t>】</w:t>
      </w:r>
      <w:r>
        <w:rPr>
          <w:rFonts w:hint="eastAsia" w:ascii="宋体" w:hAnsi="宋体" w:eastAsia="宋体" w:cs="宋体"/>
          <w:color w:val="999999"/>
          <w:sz w:val="18"/>
          <w:szCs w:val="18"/>
          <w:shd w:val="clear" w:fill="FFFFFF"/>
        </w:rPr>
        <w:t xml:space="preserve">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single" w:color="F0F0F0" w:sz="6" w:space="0"/>
          <w:right w:val="none" w:color="auto" w:sz="0" w:space="0"/>
        </w:pBdr>
        <w:spacing w:before="300" w:beforeAutospacing="0" w:after="300" w:afterAutospacing="0"/>
        <w:ind w:left="720" w:right="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/>
        <w:jc w:val="left"/>
      </w:pPr>
      <w:r>
        <w:rPr>
          <w:rFonts w:ascii="仿宋" w:hAnsi="仿宋" w:eastAsia="仿宋" w:cs="仿宋"/>
          <w:color w:val="000000"/>
          <w:sz w:val="31"/>
          <w:szCs w:val="31"/>
          <w:shd w:val="clear" w:fill="FFFFFF"/>
        </w:rPr>
        <w:t>各省、自治区、直辖市和计划单列市注册税务师协会：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55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为加强税务师行业高端人才队伍建设，根据税务师行业专业人才队伍建设规划，现就做好2017年行业高端人才培养对象选拔与培养工作通知如下：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Style w:val="4"/>
          <w:rFonts w:hint="eastAsia" w:ascii="仿宋" w:hAnsi="仿宋" w:eastAsia="仿宋" w:cs="仿宋"/>
          <w:b/>
          <w:color w:val="000000"/>
          <w:sz w:val="31"/>
          <w:szCs w:val="31"/>
          <w:shd w:val="clear" w:fill="FFFFFF"/>
        </w:rPr>
        <w:t>一、选拔工作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2017年拟新选拔200名高端人才培养对象，具体选拔工作安排如下：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（一）基本条件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1.政治素质高，勤奋好学，爱岗敬业，本职工作业绩突出，具有培养潜力。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2.具有开拓创新意识、组织协调能力、实践工作能力、分析研究能力。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3.在税务师事务所执业，具有注册税务师（含税务师）职业资格。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4.具有大学专科以上学历，身体健康，年龄在55周岁以下。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（二）优先条件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符合上述基本条件，且具备下列条件之一的人员优先选拔：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1.近3年工作成绩优异受到省（市）级以上表彰。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2.近3年在省（市）级以上各类业务竞赛中获奖励。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3.在省级以上核心期刊发表过与业务有关的学术论文。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4.参与中税协业务课题研究，并取得研究成果。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5.由中国注册税务师协会认定的特级、一级注册税务师。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6.同时具有注册会计师、律师或资产评估师资格。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（三）选拔程序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1.选拔原则。按照公开、平等、择优的原则，个人自愿申报，税务师事务所推荐，地方协会初审汇总，中税协审定后择优录取。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55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2.个人填写申报材料。5月1日前，申请人员填写《中国注册税务师行业高端人才培养对象选拔申报表》（附件1），税务师事务所填写推荐意见且盖章后，提交地方税协初审。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555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3.地方税协初审。5月15日前，地方税协依据选拔条件完成材料初审工作。凡符合条件的培训对象，按分配名额的1.2倍优先排序，报中税协教育培训部。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555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4.中税协审定。6月15日前，中税协组织专家审定，确定2017年度培养对象人员名单，并在中税协网站公示。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Style w:val="4"/>
          <w:rFonts w:hint="eastAsia" w:ascii="仿宋" w:hAnsi="仿宋" w:eastAsia="仿宋" w:cs="仿宋"/>
          <w:b/>
          <w:color w:val="000000"/>
          <w:sz w:val="31"/>
          <w:szCs w:val="31"/>
          <w:shd w:val="clear" w:fill="FFFFFF"/>
        </w:rPr>
        <w:t>二、培养要求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（一）培养周期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高端人才培养对象培养周期为两年，第一年侧重于高端业务知识提高，在中税协扬州培训基地集中面授培训10天；第二年侧重于综合能力提升，在中税协扬州培训基地集中面授培训6天。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（二）培训内容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2017年8月28日至9月7日，将举办“走出去”企业税务代理研修班，具体培训课程以培训通知为准。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另外，学员还须参加中税协网校提供的政治、经济、法律等课程学习。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Style w:val="4"/>
          <w:rFonts w:hint="eastAsia" w:ascii="仿宋" w:hAnsi="仿宋" w:eastAsia="仿宋" w:cs="仿宋"/>
          <w:b/>
          <w:color w:val="000000"/>
          <w:sz w:val="31"/>
          <w:szCs w:val="31"/>
          <w:shd w:val="clear" w:fill="FFFFFF"/>
        </w:rPr>
        <w:t>三、考核要求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（一）两年培养周期内，累计参加面授培训天数不得少于12天。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（二）两年培养周期内，参加中税协网校远程培训课时不少于32学时。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（三）结业（2018年12月31日）前，须提交两个本人参与的业务实操案例（案例格式见附件3），案例发送至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instrText xml:space="preserve"> HYPERLINK "mailto:jypxb@cctaa.cn" </w:instrTex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separate"/>
      </w:r>
      <w:r>
        <w:rPr>
          <w:rStyle w:val="7"/>
          <w:rFonts w:hint="eastAsia" w:ascii="仿宋" w:hAnsi="仿宋" w:eastAsia="仿宋" w:cs="仿宋"/>
          <w:color w:val="0000FF"/>
          <w:sz w:val="31"/>
          <w:szCs w:val="31"/>
          <w:u w:val="single"/>
          <w:shd w:val="clear" w:fill="FFFFFF"/>
        </w:rPr>
        <w:t>jypxb@cctaa.cn</w:t>
      </w:r>
      <w:r>
        <w:rPr>
          <w:rFonts w:hint="eastAsia" w:ascii="宋体" w:hAnsi="宋体" w:eastAsia="宋体" w:cs="宋体"/>
          <w:color w:val="000000"/>
          <w:sz w:val="18"/>
          <w:szCs w:val="18"/>
          <w:u w:val="none"/>
          <w:shd w:val="clear" w:fill="FFFFFF"/>
        </w:rPr>
        <w:fldChar w:fldCharType="end"/>
      </w: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学员完成上述学习任务，颁发由中国注册税务师协会用印的《中国注册税务师协会高端人才证书》。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  <w:jc w:val="left"/>
      </w:pPr>
      <w:r>
        <w:rPr>
          <w:rStyle w:val="4"/>
          <w:rFonts w:hint="eastAsia" w:ascii="仿宋" w:hAnsi="仿宋" w:eastAsia="仿宋" w:cs="仿宋"/>
          <w:b/>
          <w:color w:val="000000"/>
          <w:sz w:val="31"/>
          <w:szCs w:val="31"/>
          <w:shd w:val="clear" w:fill="FFFFFF"/>
        </w:rPr>
        <w:t>四、其他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（一）2016年选拔中未进入培养对象的申请人员须重新提交相关材料。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（二）2015年度、2016年度入选高端人才培养对象，但未完成考核规定培训时间，可申请并入新生培训班学习。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720" w:right="0" w:firstLine="645"/>
      </w:pPr>
      <w:r>
        <w:rPr>
          <w:rFonts w:hint="eastAsia" w:ascii="仿宋" w:hAnsi="仿宋" w:eastAsia="仿宋" w:cs="仿宋"/>
          <w:color w:val="000000"/>
          <w:sz w:val="31"/>
          <w:szCs w:val="31"/>
          <w:shd w:val="clear" w:fill="FFFFFF"/>
        </w:rPr>
        <w:t>（三）联系人：乔娇娇（中税协教育培训部）；联系电话：（010）68413988转8410，（010）68459608；通讯地址：北京市海淀区阜成路73号裕惠大厦A座11层，邮编：100142。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28090" w:right="0" w:hanging="360"/>
        <w:rPr>
          <w:rFonts w:hint="eastAsia" w:ascii="宋体" w:hAnsi="宋体" w:eastAsia="宋体" w:cs="宋体"/>
          <w:color w:val="333333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3C086"/>
    <w:multiLevelType w:val="multilevel"/>
    <w:tmpl w:val="5913C08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269B5"/>
    <w:rsid w:val="055F3A7A"/>
    <w:rsid w:val="0CB269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TML Definition"/>
    <w:basedOn w:val="3"/>
    <w:uiPriority w:val="0"/>
    <w:rPr>
      <w:i/>
    </w:rPr>
  </w:style>
  <w:style w:type="character" w:styleId="7">
    <w:name w:val="Hyperlink"/>
    <w:basedOn w:val="3"/>
    <w:qFormat/>
    <w:uiPriority w:val="0"/>
    <w:rPr>
      <w:color w:val="000000"/>
      <w:sz w:val="18"/>
      <w:szCs w:val="18"/>
      <w:u w:val="none"/>
    </w:rPr>
  </w:style>
  <w:style w:type="character" w:styleId="8">
    <w:name w:val="HTML Code"/>
    <w:basedOn w:val="3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9">
    <w:name w:val="HTML Keyboard"/>
    <w:basedOn w:val="3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0">
    <w:name w:val="HTML Sample"/>
    <w:basedOn w:val="3"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2">
    <w:name w:val="disabled"/>
    <w:basedOn w:val="3"/>
    <w:uiPriority w:val="0"/>
    <w:rPr>
      <w:color w:val="797979"/>
      <w:shd w:val="clear" w:fill="F4F4F4"/>
    </w:rPr>
  </w:style>
  <w:style w:type="character" w:customStyle="1" w:styleId="13">
    <w:name w:val="current"/>
    <w:basedOn w:val="3"/>
    <w:qFormat/>
    <w:uiPriority w:val="0"/>
    <w:rPr>
      <w:b/>
      <w:color w:val="303030"/>
      <w:shd w:val="clear" w:fill="FFFFFF"/>
    </w:rPr>
  </w:style>
  <w:style w:type="character" w:customStyle="1" w:styleId="14">
    <w:name w:val="hover37"/>
    <w:basedOn w:val="3"/>
    <w:qFormat/>
    <w:uiPriority w:val="0"/>
  </w:style>
  <w:style w:type="character" w:customStyle="1" w:styleId="15">
    <w:name w:val="hover38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2017-05-11T01:36:00Z</dcterms:created>
  <dc:creator>px</dc:creator>
  <cp:lastModifiedBy>px</cp:lastModifiedBy>
  <cp:lastPrinted>2017-06-09T01:02:53Z</cp:lastPrinted>
  <dcterms:modified xsi:type="dcterms:W3CDTF">2017-06-09T01:15:34Z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